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BA" w:rsidRPr="007913BA" w:rsidRDefault="007913BA" w:rsidP="007913BA">
      <w:pPr>
        <w:spacing w:after="0" w:line="240" w:lineRule="auto"/>
        <w:ind w:right="-2"/>
        <w:jc w:val="center"/>
        <w:rPr>
          <w:rFonts w:ascii="Arial Narrow" w:eastAsia="Times New Roman" w:hAnsi="Arial Narrow" w:cs="Arial"/>
          <w:b/>
          <w:noProof/>
          <w:sz w:val="28"/>
          <w:szCs w:val="28"/>
          <w:lang w:eastAsia="hu-HU"/>
        </w:rPr>
      </w:pPr>
      <w:r>
        <w:rPr>
          <w:rFonts w:ascii="Arial Narrow" w:eastAsia="Times New Roman" w:hAnsi="Arial Narrow" w:cs="Arial"/>
          <w:b/>
          <w:noProof/>
          <w:sz w:val="28"/>
          <w:szCs w:val="28"/>
          <w:lang w:eastAsia="hu-HU"/>
        </w:rPr>
        <w:t>Tájékoztató a közgyűlések lebonyolítására és a részvényesek szavazati jogának gyakorlására vonatkozó szabályokról</w:t>
      </w:r>
    </w:p>
    <w:p w:rsidR="007913BA" w:rsidRDefault="007913BA" w:rsidP="007913BA">
      <w:pPr>
        <w:spacing w:after="0" w:line="240" w:lineRule="auto"/>
        <w:ind w:right="-2"/>
        <w:jc w:val="center"/>
        <w:rPr>
          <w:rFonts w:ascii="Arial Narrow" w:eastAsia="Times New Roman" w:hAnsi="Arial Narrow" w:cs="Arial"/>
          <w:b/>
          <w:noProof/>
          <w:lang w:eastAsia="hu-HU"/>
        </w:rPr>
      </w:pPr>
    </w:p>
    <w:p w:rsidR="007913BA" w:rsidRDefault="007913BA" w:rsidP="007913BA">
      <w:pPr>
        <w:spacing w:after="0" w:line="240" w:lineRule="auto"/>
        <w:ind w:right="-2"/>
        <w:jc w:val="center"/>
        <w:rPr>
          <w:rFonts w:ascii="Arial Narrow" w:eastAsia="Times New Roman" w:hAnsi="Arial Narrow" w:cs="Arial"/>
          <w:b/>
          <w:noProof/>
          <w:lang w:eastAsia="hu-HU"/>
        </w:rPr>
      </w:pPr>
    </w:p>
    <w:p w:rsidR="007913BA" w:rsidRDefault="007913BA" w:rsidP="007913BA">
      <w:pPr>
        <w:spacing w:after="0" w:line="240" w:lineRule="auto"/>
        <w:ind w:right="-2"/>
        <w:jc w:val="center"/>
        <w:rPr>
          <w:rFonts w:ascii="Arial Narrow" w:eastAsia="Times New Roman" w:hAnsi="Arial Narrow" w:cs="Arial"/>
          <w:b/>
          <w:noProof/>
          <w:lang w:eastAsia="hu-HU"/>
        </w:rPr>
      </w:pPr>
    </w:p>
    <w:p w:rsidR="007913BA" w:rsidRDefault="007913BA" w:rsidP="007913BA">
      <w:pPr>
        <w:spacing w:after="0" w:line="240" w:lineRule="auto"/>
        <w:ind w:right="-2"/>
        <w:jc w:val="center"/>
        <w:rPr>
          <w:rFonts w:ascii="Arial Narrow" w:eastAsia="Times New Roman" w:hAnsi="Arial Narrow" w:cs="Arial"/>
          <w:b/>
          <w:noProof/>
          <w:lang w:eastAsia="hu-HU"/>
        </w:rPr>
      </w:pPr>
    </w:p>
    <w:p w:rsidR="007913BA" w:rsidRPr="007913BA" w:rsidRDefault="007913BA" w:rsidP="007913BA">
      <w:pPr>
        <w:spacing w:after="0" w:line="240" w:lineRule="auto"/>
        <w:ind w:right="-2"/>
        <w:jc w:val="center"/>
        <w:rPr>
          <w:rFonts w:ascii="Arial Narrow" w:eastAsia="Times New Roman" w:hAnsi="Arial Narrow" w:cs="Arial"/>
          <w:b/>
          <w:noProof/>
          <w:lang w:eastAsia="hu-HU"/>
        </w:rPr>
      </w:pPr>
      <w:r w:rsidRPr="007913BA">
        <w:rPr>
          <w:rFonts w:ascii="Arial Narrow" w:eastAsia="Times New Roman" w:hAnsi="Arial Narrow" w:cs="Arial"/>
          <w:b/>
          <w:noProof/>
          <w:lang w:eastAsia="hu-HU"/>
        </w:rPr>
        <w:t>A Közgyűlés</w:t>
      </w:r>
      <w:r>
        <w:rPr>
          <w:rFonts w:ascii="Arial Narrow" w:eastAsia="Times New Roman" w:hAnsi="Arial Narrow" w:cs="Arial"/>
          <w:b/>
          <w:noProof/>
          <w:lang w:eastAsia="hu-HU"/>
        </w:rPr>
        <w:t>ek</w:t>
      </w:r>
      <w:r w:rsidRPr="007913BA">
        <w:rPr>
          <w:rFonts w:ascii="Arial Narrow" w:eastAsia="Times New Roman" w:hAnsi="Arial Narrow" w:cs="Arial"/>
          <w:b/>
          <w:noProof/>
          <w:lang w:eastAsia="hu-HU"/>
        </w:rPr>
        <w:t xml:space="preserve"> megtartásának módja</w:t>
      </w:r>
    </w:p>
    <w:p w:rsidR="007913BA" w:rsidRPr="007913BA" w:rsidRDefault="007913BA" w:rsidP="007913BA">
      <w:pPr>
        <w:spacing w:after="0" w:line="240" w:lineRule="auto"/>
        <w:ind w:right="-2"/>
        <w:jc w:val="center"/>
        <w:rPr>
          <w:rFonts w:ascii="Arial Narrow" w:eastAsia="Times New Roman" w:hAnsi="Arial Narrow" w:cs="Arial"/>
          <w:b/>
          <w:noProof/>
          <w:lang w:eastAsia="hu-HU"/>
        </w:rPr>
      </w:pPr>
    </w:p>
    <w:p w:rsidR="007913BA" w:rsidRPr="007913BA" w:rsidRDefault="007913BA" w:rsidP="007913BA">
      <w:pPr>
        <w:spacing w:after="0" w:line="240" w:lineRule="auto"/>
        <w:ind w:right="-142"/>
        <w:jc w:val="both"/>
        <w:rPr>
          <w:rFonts w:ascii="Arial Narrow" w:eastAsia="Times New Roman" w:hAnsi="Arial Narrow" w:cs="Arial"/>
          <w:noProof/>
          <w:lang w:eastAsia="hu-HU"/>
        </w:rPr>
      </w:pPr>
      <w:r w:rsidRPr="007913BA">
        <w:rPr>
          <w:rFonts w:ascii="Arial Narrow" w:eastAsia="Times New Roman" w:hAnsi="Arial Narrow" w:cs="Arial"/>
          <w:noProof/>
          <w:lang w:eastAsia="hu-HU"/>
        </w:rPr>
        <w:t>A Közgyűlés</w:t>
      </w:r>
      <w:r>
        <w:rPr>
          <w:rFonts w:ascii="Arial Narrow" w:eastAsia="Times New Roman" w:hAnsi="Arial Narrow" w:cs="Arial"/>
          <w:noProof/>
          <w:lang w:eastAsia="hu-HU"/>
        </w:rPr>
        <w:t>ek</w:t>
      </w:r>
      <w:r w:rsidRPr="007913BA">
        <w:rPr>
          <w:rFonts w:ascii="Arial Narrow" w:eastAsia="Times New Roman" w:hAnsi="Arial Narrow" w:cs="Arial"/>
          <w:noProof/>
          <w:lang w:eastAsia="hu-HU"/>
        </w:rPr>
        <w:t xml:space="preserve"> a részvényesek közvetlen részvételével kerül</w:t>
      </w:r>
      <w:r>
        <w:rPr>
          <w:rFonts w:ascii="Arial Narrow" w:eastAsia="Times New Roman" w:hAnsi="Arial Narrow" w:cs="Arial"/>
          <w:noProof/>
          <w:lang w:eastAsia="hu-HU"/>
        </w:rPr>
        <w:t>nek</w:t>
      </w:r>
      <w:r w:rsidRPr="007913BA">
        <w:rPr>
          <w:rFonts w:ascii="Arial Narrow" w:eastAsia="Times New Roman" w:hAnsi="Arial Narrow" w:cs="Arial"/>
          <w:noProof/>
          <w:lang w:eastAsia="hu-HU"/>
        </w:rPr>
        <w:t xml:space="preserve"> megtartásra. </w:t>
      </w:r>
    </w:p>
    <w:p w:rsidR="007913BA" w:rsidRPr="007913BA" w:rsidRDefault="007913BA" w:rsidP="007913BA">
      <w:pPr>
        <w:spacing w:after="0" w:line="240" w:lineRule="auto"/>
        <w:ind w:right="-142"/>
        <w:jc w:val="center"/>
        <w:rPr>
          <w:rFonts w:ascii="Arial Narrow" w:eastAsia="Times New Roman" w:hAnsi="Arial Narrow" w:cs="Arial"/>
          <w:b/>
          <w:noProof/>
          <w:lang w:eastAsia="hu-HU"/>
        </w:rPr>
      </w:pPr>
    </w:p>
    <w:p w:rsidR="007913BA" w:rsidRPr="007913BA" w:rsidRDefault="007913BA" w:rsidP="007913BA">
      <w:pPr>
        <w:spacing w:after="0" w:line="240" w:lineRule="auto"/>
        <w:ind w:right="-142"/>
        <w:jc w:val="center"/>
        <w:rPr>
          <w:rFonts w:ascii="Arial Narrow" w:eastAsia="Times New Roman" w:hAnsi="Arial Narrow" w:cs="Arial"/>
          <w:b/>
          <w:noProof/>
          <w:lang w:eastAsia="hu-HU"/>
        </w:rPr>
      </w:pPr>
      <w:r w:rsidRPr="007913BA">
        <w:rPr>
          <w:rFonts w:ascii="Arial Narrow" w:eastAsia="Times New Roman" w:hAnsi="Arial Narrow" w:cs="Arial"/>
          <w:b/>
          <w:noProof/>
          <w:lang w:eastAsia="hu-HU"/>
        </w:rPr>
        <w:t>A Közgyűlésen való részvétel és a szavazati jog gyakorlásának feltételei</w:t>
      </w:r>
    </w:p>
    <w:p w:rsidR="007913BA" w:rsidRPr="007913BA" w:rsidRDefault="007913BA" w:rsidP="007913BA">
      <w:pPr>
        <w:spacing w:after="0" w:line="240" w:lineRule="auto"/>
        <w:ind w:right="-142"/>
        <w:jc w:val="center"/>
        <w:rPr>
          <w:rFonts w:ascii="Arial Narrow" w:eastAsia="Times New Roman" w:hAnsi="Arial Narrow" w:cs="Arial"/>
          <w:b/>
          <w:noProof/>
          <w:lang w:eastAsia="hu-HU"/>
        </w:rPr>
      </w:pPr>
    </w:p>
    <w:p w:rsidR="007913BA" w:rsidRPr="007913BA" w:rsidRDefault="007913BA" w:rsidP="007913BA">
      <w:pPr>
        <w:spacing w:after="0" w:line="240" w:lineRule="auto"/>
        <w:ind w:left="425" w:right="-142" w:hanging="425"/>
        <w:jc w:val="both"/>
        <w:rPr>
          <w:rFonts w:ascii="Arial Narrow" w:eastAsia="Times New Roman" w:hAnsi="Arial Narrow" w:cs="Arial"/>
          <w:noProof/>
          <w:lang w:eastAsia="hu-HU"/>
        </w:rPr>
      </w:pPr>
      <w:r w:rsidRPr="007913BA">
        <w:rPr>
          <w:rFonts w:ascii="Arial Narrow" w:eastAsia="Times New Roman" w:hAnsi="Arial Narrow" w:cs="Arial"/>
          <w:noProof/>
          <w:lang w:eastAsia="hu-HU"/>
        </w:rPr>
        <w:t>A</w:t>
      </w:r>
      <w:r w:rsidRPr="007913BA">
        <w:rPr>
          <w:rFonts w:ascii="Arial Narrow" w:eastAsia="Times New Roman" w:hAnsi="Arial Narrow" w:cs="Arial"/>
          <w:noProof/>
          <w:lang w:eastAsia="hu-HU"/>
        </w:rPr>
        <w:tab/>
        <w:t xml:space="preserve">A Társaság Alapszabályának 3.1.24.1 (e) pontja szerint a közgyűlésen minden 100,- Ft, azaz Egyszáz forint névértékű „A” sorozatú törzsrészvény egy szavazatra jogosít. </w:t>
      </w:r>
    </w:p>
    <w:p w:rsidR="007913BA" w:rsidRPr="007913BA" w:rsidRDefault="007913BA" w:rsidP="007913BA">
      <w:pPr>
        <w:spacing w:after="0" w:line="240" w:lineRule="auto"/>
        <w:ind w:left="426" w:right="-142" w:hanging="426"/>
        <w:jc w:val="both"/>
        <w:rPr>
          <w:rFonts w:ascii="Arial Narrow" w:eastAsia="Times New Roman" w:hAnsi="Arial Narrow" w:cs="Arial"/>
          <w:noProof/>
          <w:lang w:eastAsia="hu-HU"/>
        </w:rPr>
      </w:pPr>
    </w:p>
    <w:p w:rsidR="007913BA" w:rsidRPr="007913BA" w:rsidRDefault="007913BA" w:rsidP="007913BA">
      <w:pPr>
        <w:spacing w:after="200" w:line="240" w:lineRule="auto"/>
        <w:ind w:left="426" w:right="-142" w:hanging="426"/>
        <w:jc w:val="both"/>
        <w:rPr>
          <w:rFonts w:ascii="Arial Narrow" w:eastAsia="Times New Roman" w:hAnsi="Arial Narrow" w:cs="Arial"/>
          <w:noProof/>
          <w:lang w:eastAsia="hu-HU"/>
        </w:rPr>
      </w:pPr>
      <w:r w:rsidRPr="007913BA">
        <w:rPr>
          <w:rFonts w:ascii="Arial Narrow" w:eastAsia="Times New Roman" w:hAnsi="Arial Narrow" w:cs="Arial"/>
          <w:noProof/>
          <w:lang w:eastAsia="hu-HU"/>
        </w:rPr>
        <w:t>B</w:t>
      </w:r>
      <w:r w:rsidRPr="007913BA">
        <w:rPr>
          <w:rFonts w:ascii="Arial Narrow" w:eastAsia="Times New Roman" w:hAnsi="Arial Narrow" w:cs="Arial"/>
          <w:noProof/>
          <w:lang w:eastAsia="hu-HU"/>
        </w:rPr>
        <w:tab/>
        <w:t xml:space="preserve">A Társaság Közgyűlésén az a részvényes, illetve a Tpt. 151-155. §-aiban meghatározott részvényesi meghatalmazott vehet részt, akit – a tulajdonosi megfeleltetés eredményének megfelelően – a Részvénykönyv Közgyűlési Lezárásakor a részvénykönyvbe bejegyeztek. </w:t>
      </w:r>
    </w:p>
    <w:p w:rsidR="007913BA" w:rsidRPr="007913BA" w:rsidRDefault="007913BA" w:rsidP="007913BA">
      <w:pPr>
        <w:spacing w:after="0" w:line="240" w:lineRule="auto"/>
        <w:ind w:left="426" w:right="-142" w:hanging="426"/>
        <w:jc w:val="both"/>
        <w:rPr>
          <w:rFonts w:ascii="Arial Narrow" w:eastAsia="Times New Roman" w:hAnsi="Arial Narrow" w:cs="Arial"/>
          <w:noProof/>
          <w:lang w:eastAsia="hu-HU"/>
        </w:rPr>
      </w:pPr>
      <w:r w:rsidRPr="007913BA">
        <w:rPr>
          <w:rFonts w:ascii="Arial Narrow" w:eastAsia="Times New Roman" w:hAnsi="Arial Narrow" w:cs="Arial"/>
          <w:noProof/>
          <w:lang w:eastAsia="hu-HU"/>
        </w:rPr>
        <w:t>C</w:t>
      </w:r>
      <w:r w:rsidRPr="007913BA">
        <w:rPr>
          <w:rFonts w:ascii="Arial Narrow" w:eastAsia="Times New Roman" w:hAnsi="Arial Narrow" w:cs="Arial"/>
          <w:noProof/>
          <w:lang w:eastAsia="hu-HU"/>
        </w:rPr>
        <w:tab/>
        <w:t xml:space="preserve">A Társaság a Közgyűlés mint társasági esemény időpontjára a KELER Zrt.-től tulajdonosi megfeleltetést kér. A Közgyűléshez kapcsolódó tulajdonosi megfeleltetés fordulónapja </w:t>
      </w:r>
      <w:r w:rsidRPr="007913BA">
        <w:rPr>
          <w:rFonts w:ascii="Arial Narrow" w:eastAsia="Times New Roman" w:hAnsi="Arial Narrow" w:cs="Arial"/>
          <w:noProof/>
          <w:lang w:eastAsia="hu-HU"/>
        </w:rPr>
        <w:t>a Közgyűlést megelőző 7. (hetedik) és 5. (ötödik) tőzsdei kereskedési napok (e napokat is beleértve) közötti időszakra eshet</w:t>
      </w:r>
      <w:r w:rsidRPr="007913BA">
        <w:rPr>
          <w:rFonts w:ascii="Arial Narrow" w:eastAsia="Times New Roman" w:hAnsi="Arial Narrow" w:cs="Arial"/>
          <w:noProof/>
          <w:lang w:eastAsia="hu-HU"/>
        </w:rPr>
        <w:t xml:space="preserve">. A tulajdonosi megfeleltetéssel kapcsolatos szabályokat a KELER Zrt. mindenkor hatályos Általános Üzletszabályzata tartalmazza. </w:t>
      </w:r>
    </w:p>
    <w:p w:rsidR="007913BA" w:rsidRPr="007913BA" w:rsidRDefault="007913BA" w:rsidP="007913BA">
      <w:pPr>
        <w:spacing w:after="0" w:line="240" w:lineRule="auto"/>
        <w:ind w:left="426" w:right="-142" w:hanging="426"/>
        <w:jc w:val="both"/>
        <w:rPr>
          <w:rFonts w:ascii="Arial Narrow" w:eastAsia="Times New Roman" w:hAnsi="Arial Narrow" w:cs="Arial"/>
          <w:noProof/>
          <w:lang w:eastAsia="hu-HU"/>
        </w:rPr>
      </w:pPr>
    </w:p>
    <w:p w:rsidR="007913BA" w:rsidRPr="007913BA" w:rsidRDefault="007913BA" w:rsidP="007913BA">
      <w:pPr>
        <w:spacing w:after="0" w:line="240" w:lineRule="auto"/>
        <w:ind w:left="425" w:right="-142" w:hanging="426"/>
        <w:jc w:val="both"/>
        <w:rPr>
          <w:rFonts w:ascii="Arial Narrow" w:eastAsia="Calibri" w:hAnsi="Arial Narrow" w:cs="Times New Roman"/>
          <w:noProof/>
        </w:rPr>
      </w:pPr>
      <w:r w:rsidRPr="007913BA">
        <w:rPr>
          <w:rFonts w:ascii="Arial Narrow" w:eastAsia="Times New Roman" w:hAnsi="Arial Narrow" w:cs="Arial"/>
          <w:noProof/>
          <w:lang w:eastAsia="hu-HU"/>
        </w:rPr>
        <w:t>D</w:t>
      </w:r>
      <w:r w:rsidRPr="007913BA">
        <w:rPr>
          <w:rFonts w:ascii="Arial Narrow" w:eastAsia="Times New Roman" w:hAnsi="Arial Narrow" w:cs="Arial"/>
          <w:noProof/>
          <w:lang w:eastAsia="hu-HU"/>
        </w:rPr>
        <w:tab/>
      </w:r>
      <w:r w:rsidRPr="007913BA">
        <w:rPr>
          <w:rFonts w:ascii="Arial Narrow" w:eastAsia="Calibri" w:hAnsi="Arial Narrow" w:cs="Times New Roman"/>
          <w:noProof/>
        </w:rPr>
        <w:t>A Társaság a Közgyűlés napját megelőző második munkanapon budapesti idő szerint 18 (tizennyolc) órakor a részvénykönyvben szereplő, a tulajdonosi megfeleltetés időpontjában hatályos valamennyi adatot törli, és ezzel egyidejűleg a tulajdonosi megfeleltetés eredményének megfelelő adatokat a részvénykönyvbe bejegyzi és azt a tulajdonosi megfeleltetés adataival lezárja („</w:t>
      </w:r>
      <w:r w:rsidRPr="007913BA">
        <w:rPr>
          <w:rFonts w:ascii="Arial Narrow" w:eastAsia="Calibri" w:hAnsi="Arial Narrow" w:cs="Times New Roman"/>
          <w:b/>
          <w:bCs/>
          <w:noProof/>
        </w:rPr>
        <w:t>Részvénykönyv Közgyűlési Lezárása</w:t>
      </w:r>
      <w:r w:rsidRPr="007913BA">
        <w:rPr>
          <w:rFonts w:ascii="Arial Narrow" w:eastAsia="Calibri" w:hAnsi="Arial Narrow" w:cs="Times New Roman"/>
          <w:noProof/>
        </w:rPr>
        <w:t xml:space="preserve">”). </w:t>
      </w:r>
    </w:p>
    <w:p w:rsidR="007913BA" w:rsidRPr="007913BA" w:rsidRDefault="007913BA" w:rsidP="007913BA">
      <w:pPr>
        <w:spacing w:after="0" w:line="240" w:lineRule="auto"/>
        <w:ind w:left="425" w:right="-142" w:hanging="426"/>
        <w:jc w:val="both"/>
        <w:rPr>
          <w:rFonts w:ascii="Arial Narrow" w:eastAsia="Calibri" w:hAnsi="Arial Narrow" w:cs="Times New Roman"/>
          <w:noProof/>
        </w:rPr>
      </w:pPr>
    </w:p>
    <w:p w:rsidR="007913BA" w:rsidRPr="007913BA" w:rsidRDefault="007913BA" w:rsidP="007913BA">
      <w:pPr>
        <w:spacing w:after="0" w:line="240" w:lineRule="auto"/>
        <w:ind w:left="425" w:right="-142"/>
        <w:jc w:val="both"/>
        <w:rPr>
          <w:rFonts w:ascii="Arial Narrow" w:eastAsia="Calibri" w:hAnsi="Arial Narrow" w:cs="Times New Roman"/>
          <w:noProof/>
        </w:rPr>
      </w:pPr>
      <w:r w:rsidRPr="007913BA">
        <w:rPr>
          <w:rFonts w:ascii="Arial Narrow" w:eastAsia="Calibri" w:hAnsi="Arial Narrow" w:cs="Times New Roman"/>
          <w:noProof/>
        </w:rPr>
        <w:t>Ezt követően a részvénykönyvbe a részvényes részvénytulajdonát érintő bejegyzést leghamarabb a Közgyűlést követő munkanapon lehet tenni.</w:t>
      </w:r>
    </w:p>
    <w:p w:rsidR="007913BA" w:rsidRPr="007913BA" w:rsidRDefault="007913BA" w:rsidP="007913BA">
      <w:pPr>
        <w:spacing w:after="0" w:line="240" w:lineRule="auto"/>
        <w:ind w:left="426" w:right="-142" w:hanging="426"/>
        <w:jc w:val="both"/>
        <w:rPr>
          <w:rFonts w:ascii="Arial Narrow" w:eastAsia="Times New Roman" w:hAnsi="Arial Narrow" w:cs="Arial"/>
          <w:noProof/>
          <w:lang w:eastAsia="hu-HU"/>
        </w:rPr>
      </w:pPr>
    </w:p>
    <w:p w:rsidR="007913BA" w:rsidRPr="007913BA" w:rsidRDefault="007913BA" w:rsidP="007913BA">
      <w:pPr>
        <w:spacing w:after="200" w:line="240" w:lineRule="auto"/>
        <w:ind w:left="426" w:right="-142" w:hanging="426"/>
        <w:jc w:val="both"/>
        <w:rPr>
          <w:rFonts w:ascii="Arial Narrow" w:eastAsia="Times New Roman" w:hAnsi="Arial Narrow" w:cs="Arial"/>
          <w:noProof/>
          <w:lang w:eastAsia="hu-HU"/>
        </w:rPr>
      </w:pPr>
      <w:r w:rsidRPr="007913BA">
        <w:rPr>
          <w:rFonts w:ascii="Arial Narrow" w:eastAsia="Times New Roman" w:hAnsi="Arial Narrow" w:cs="Arial"/>
          <w:noProof/>
          <w:lang w:eastAsia="hu-HU"/>
        </w:rPr>
        <w:t>E</w:t>
      </w:r>
      <w:r w:rsidRPr="007913BA">
        <w:rPr>
          <w:rFonts w:ascii="Arial Narrow" w:eastAsia="Times New Roman" w:hAnsi="Arial Narrow" w:cs="Arial"/>
          <w:noProof/>
          <w:lang w:eastAsia="hu-HU"/>
        </w:rPr>
        <w:tab/>
        <w:t>A részvényes a közgyűlési jogait képviselő útján is gyakorolhatja. Nem lehet meghatalmazott az Igazgatósági tag, a Felügyelőbizottság tagja, a könyvvizsgáló és a vagyonellenőr. A részvényes a közgyűlési jogai gyakorlására a Társaság vezető állású munkavállalójának is meghatalmazást adhat. A képviseleti meghatalmazás érvényessége egy Közgyűlésre, vagy a meghatalmazásban meghatározott időre, de legfeljebb tizenkét (12) hónapra szól. A képviseleti meghatalmazás érvényessége kiterjed a felfüggesztett Közgyűlés folytatására és a határozatképtelenség miatt ismételten összehívott Közgyűlésre is. A meghatalmazást közokirat vagy teljes bizonyító erejű magánokirat formájában kell kiállítani, és a Társasághoz a közgyűlési hirdetményben megjelölt helyen és időben benyújtani. A részvényesi meghatalmazott által adott meghatalmazásban fel kell tüntetni, hogy a képviselő részvényesi meghatalmazottként jár el.</w:t>
      </w:r>
    </w:p>
    <w:p w:rsidR="007913BA" w:rsidRPr="007913BA" w:rsidRDefault="007913BA" w:rsidP="007913BA">
      <w:pPr>
        <w:spacing w:after="0" w:line="240" w:lineRule="auto"/>
        <w:ind w:left="426" w:right="-142"/>
        <w:jc w:val="both"/>
        <w:rPr>
          <w:rFonts w:ascii="Arial Narrow" w:eastAsia="Times New Roman" w:hAnsi="Arial Narrow" w:cs="Arial"/>
          <w:noProof/>
          <w:lang w:eastAsia="hu-HU"/>
        </w:rPr>
      </w:pPr>
      <w:r w:rsidRPr="007913BA">
        <w:rPr>
          <w:rFonts w:ascii="Arial Narrow" w:eastAsia="Times New Roman" w:hAnsi="Arial Narrow" w:cs="Arial"/>
          <w:noProof/>
          <w:lang w:eastAsia="hu-HU"/>
        </w:rPr>
        <w:t>Nem természetes személy részvényes esetében a meghatalmazást aláíró vagy a nem természetes személy részvényes képviseletében a Közgyűlésen eljáró személy(ek) képviseleti jogosultságát közhitelű nyilvántartás által kibocsátott igazolás (pl. cégkivonat) és hiteles cégaláírási nyilatkozat (a közjegyzői aláírás-hitelesítéssel ellátott címpéldány), illetve az ügyvéd által ellenjegyzett aláírás-minta eredeti vagy közjegyző által hitelesített másolati példányának bemutatásával kell igazolni. Amennyiben a képviseleti jogosultság igazolására vonatkozó okirat(oka)t nem magyar nyelven állították ki, az okirathoz hiteles magyar fordítást is mellékelni kell. Amennyiben a meghatalmazás külföldön készült, a meghatalmazás alakiságának meg kell felelnie a külföldön kiállított okiratok hitelesítésére, illetve felülhitelesítésére vonatkozó jogszabályoknak.</w:t>
      </w:r>
      <w:r w:rsidRPr="007913BA">
        <w:rPr>
          <w:rFonts w:ascii="Arial Narrow" w:eastAsia="Times New Roman" w:hAnsi="Arial Narrow" w:cs="Tahoma"/>
          <w:lang w:eastAsia="hu-HU"/>
        </w:rPr>
        <w:t xml:space="preserve"> </w:t>
      </w:r>
    </w:p>
    <w:p w:rsidR="007913BA" w:rsidRPr="007913BA" w:rsidRDefault="007913BA" w:rsidP="007913BA">
      <w:pPr>
        <w:spacing w:after="0" w:line="240" w:lineRule="auto"/>
        <w:ind w:right="-142"/>
        <w:jc w:val="both"/>
        <w:rPr>
          <w:rFonts w:ascii="Arial Narrow" w:eastAsia="Times New Roman" w:hAnsi="Arial Narrow" w:cs="Arial"/>
          <w:noProof/>
          <w:lang w:eastAsia="hu-HU"/>
        </w:rPr>
      </w:pPr>
    </w:p>
    <w:p w:rsidR="007913BA" w:rsidRPr="007913BA" w:rsidRDefault="007913BA" w:rsidP="007913BA">
      <w:pPr>
        <w:spacing w:after="200" w:line="240" w:lineRule="auto"/>
        <w:ind w:left="426" w:right="-142" w:hanging="426"/>
        <w:jc w:val="both"/>
        <w:rPr>
          <w:rFonts w:ascii="Arial Narrow" w:eastAsia="Times New Roman" w:hAnsi="Arial Narrow" w:cs="Arial"/>
          <w:iCs/>
          <w:noProof/>
          <w:lang w:eastAsia="hu-HU"/>
        </w:rPr>
      </w:pPr>
      <w:r w:rsidRPr="007913BA">
        <w:rPr>
          <w:rFonts w:ascii="Arial Narrow" w:eastAsia="Times New Roman" w:hAnsi="Arial Narrow" w:cs="Arial"/>
          <w:noProof/>
          <w:lang w:eastAsia="hu-HU"/>
        </w:rPr>
        <w:t>F</w:t>
      </w:r>
      <w:r w:rsidRPr="007913BA">
        <w:rPr>
          <w:rFonts w:ascii="Arial Narrow" w:eastAsia="Times New Roman" w:hAnsi="Arial Narrow" w:cs="Arial"/>
          <w:noProof/>
          <w:lang w:eastAsia="hu-HU"/>
        </w:rPr>
        <w:tab/>
        <w:t xml:space="preserve">A részvényesnek a Közgyűlés napirendjére tűzött ügyre vonatkozóan tájékoztatáshoz való joga van. Ennek megfelelően a részvényesnek a Közgyűlés napja előtt legalább nyolc nappal benyújtott írásbeli kérelmére az Igazgatóság legkésőbb a Közgyűlés napja előtt három nappal megadja a közgyűlési napirendi pont </w:t>
      </w:r>
      <w:r w:rsidRPr="007913BA">
        <w:rPr>
          <w:rFonts w:ascii="Arial Narrow" w:eastAsia="Times New Roman" w:hAnsi="Arial Narrow" w:cs="Arial"/>
          <w:noProof/>
          <w:lang w:eastAsia="hu-HU"/>
        </w:rPr>
        <w:lastRenderedPageBreak/>
        <w:t xml:space="preserve">tárgyalásához szükséges tájékoztatást. </w:t>
      </w:r>
      <w:bookmarkStart w:id="0" w:name="_Hlk64308355"/>
      <w:r w:rsidRPr="007913BA">
        <w:rPr>
          <w:rFonts w:ascii="Arial Narrow" w:eastAsia="Times New Roman" w:hAnsi="Arial Narrow" w:cs="Arial"/>
          <w:noProof/>
          <w:lang w:eastAsia="hu-HU"/>
        </w:rPr>
        <w:t>Az előzőek szerinti tájékoztatáshoz való jog teljesítését az Igazgatóság a felvilágosítást kérő részvényes által tett írásbeli titoktartási nyilatkozat tételéhez kötheti. Az igazgatóság megtagadhatja a felvilágosítást és az iratokba való betekintést, ha ez a Társaság üzleti, bank-, értékpapír, vagy egyéb hasonló titkát sértené, ha a felvilágosítást kérő a jogát visszaélésszerűen gyakorolja, vagy felhívás ellenére nem tesz titoktartási nyilatkozatot. Ha a felvilágosítást kérő a felvilágosítás megtagadását indokolatlannak tartja, a cégbíróságtól kérheti a Társaság kötelezését a felvilágosítás megadására.</w:t>
      </w:r>
      <w:bookmarkEnd w:id="0"/>
    </w:p>
    <w:p w:rsidR="007913BA" w:rsidRPr="007913BA" w:rsidRDefault="007913BA" w:rsidP="007913BA">
      <w:pPr>
        <w:spacing w:after="0" w:line="240" w:lineRule="auto"/>
        <w:ind w:left="426" w:right="-142" w:hanging="426"/>
        <w:jc w:val="both"/>
        <w:rPr>
          <w:rFonts w:ascii="Arial Narrow" w:eastAsia="Times New Roman" w:hAnsi="Arial Narrow" w:cs="Arial"/>
          <w:noProof/>
          <w:lang w:eastAsia="hu-HU"/>
        </w:rPr>
      </w:pPr>
    </w:p>
    <w:p w:rsidR="007913BA" w:rsidRPr="007913BA" w:rsidRDefault="007913BA" w:rsidP="007913BA">
      <w:pPr>
        <w:spacing w:after="0" w:line="240" w:lineRule="auto"/>
        <w:ind w:left="425" w:right="-142" w:hanging="425"/>
        <w:jc w:val="both"/>
        <w:rPr>
          <w:rFonts w:ascii="Arial Narrow" w:eastAsia="Times New Roman" w:hAnsi="Arial Narrow" w:cs="Arial"/>
          <w:noProof/>
          <w:lang w:eastAsia="hu-HU"/>
        </w:rPr>
      </w:pPr>
      <w:r w:rsidRPr="007913BA">
        <w:rPr>
          <w:rFonts w:ascii="Arial Narrow" w:eastAsia="Times New Roman" w:hAnsi="Arial Narrow" w:cs="Arial"/>
          <w:noProof/>
          <w:lang w:eastAsia="hu-HU"/>
        </w:rPr>
        <w:t>G</w:t>
      </w:r>
      <w:r w:rsidRPr="007913BA">
        <w:rPr>
          <w:rFonts w:ascii="Arial Narrow" w:eastAsia="Times New Roman" w:hAnsi="Arial Narrow" w:cs="Arial"/>
          <w:noProof/>
          <w:lang w:eastAsia="hu-HU"/>
        </w:rPr>
        <w:tab/>
        <w:t>A Társaság biztosítja valamennyi, a Közgyűlésen résztvevő részvényes számára a Közgyűlésen való felvilágosítás iránti, észrevételezési és indítványozási jog gyakorlását, feltéve, hogy ezen jogok gyakorlása nem vezet a Közgyűlés szabályszerű és rendeltetésszerű működésének akadályozásához. A Közgyűlés elnöke a jelen pontban meghatározott részvényesi jogok gyakorlásának biztosítása érdekében köteles a részvényes számára a Közgyűlésen szót adni azzal, hogy a Közgyűlés elnöke a Közgyűlés szabályszerű és rendeltetésszerű működésének biztosítása érdekében a felszólalás időtartamát megszabhatja, különösen a tárgytól való eltérés esetén a szót megvonhatja, továbbá – több egyidejű felszólalás esetén – a felszólalások sorrendjét meghatározhatja. A Közgyűlésen felmerült és annak keretében a részvényes által elfogadottan meg nem válaszolt kérdések megválaszolására a Társaságnak a Közgyűlés napjától számított öt (5) munkanap áll rendelkezésére.</w:t>
      </w:r>
    </w:p>
    <w:p w:rsidR="007913BA" w:rsidRPr="007913BA" w:rsidRDefault="007913BA" w:rsidP="007913BA">
      <w:pPr>
        <w:spacing w:after="0" w:line="240" w:lineRule="auto"/>
        <w:ind w:left="426" w:right="-142" w:hanging="426"/>
        <w:jc w:val="both"/>
        <w:rPr>
          <w:rFonts w:ascii="Arial Narrow" w:eastAsia="Times New Roman" w:hAnsi="Arial Narrow" w:cs="Arial"/>
          <w:noProof/>
          <w:lang w:eastAsia="hu-HU"/>
        </w:rPr>
      </w:pPr>
    </w:p>
    <w:p w:rsidR="007913BA" w:rsidRPr="007913BA" w:rsidRDefault="007913BA" w:rsidP="007913BA">
      <w:pPr>
        <w:spacing w:after="0" w:line="240" w:lineRule="auto"/>
        <w:ind w:left="426" w:right="-142" w:hanging="426"/>
        <w:jc w:val="both"/>
        <w:rPr>
          <w:rFonts w:ascii="Arial Narrow" w:eastAsia="Times New Roman" w:hAnsi="Arial Narrow" w:cs="Arial"/>
          <w:noProof/>
          <w:lang w:eastAsia="hu-HU"/>
        </w:rPr>
      </w:pPr>
      <w:r w:rsidRPr="007913BA">
        <w:rPr>
          <w:rFonts w:ascii="Arial Narrow" w:eastAsia="Times New Roman" w:hAnsi="Arial Narrow" w:cs="Arial"/>
          <w:noProof/>
          <w:lang w:eastAsia="hu-HU"/>
        </w:rPr>
        <w:t>H</w:t>
      </w:r>
      <w:r w:rsidRPr="007913BA">
        <w:rPr>
          <w:rFonts w:ascii="Arial Narrow" w:eastAsia="Times New Roman" w:hAnsi="Arial Narrow" w:cs="Arial"/>
          <w:noProof/>
          <w:lang w:eastAsia="hu-HU"/>
        </w:rPr>
        <w:tab/>
        <w:t>Amennyiben a Közgyűlésen való részvétel és a szavazati jog gyakorlásának feltételei teljesülnek, a Közgyűlés helyszínén a részvényes vagy meghatalmazottja személyazonossága igazolása mellett, a jelenléti ív aláírása után igényelheti a szavazatok leadására szolgáló elektronikus vagy egyéb eszközt.</w:t>
      </w:r>
    </w:p>
    <w:p w:rsidR="007913BA" w:rsidRPr="007913BA" w:rsidRDefault="007913BA" w:rsidP="007913BA">
      <w:pPr>
        <w:spacing w:after="0" w:line="240" w:lineRule="auto"/>
        <w:ind w:left="426" w:right="-142" w:hanging="426"/>
        <w:jc w:val="both"/>
        <w:rPr>
          <w:rFonts w:ascii="Arial Narrow" w:eastAsia="Times New Roman" w:hAnsi="Arial Narrow" w:cs="Arial"/>
          <w:noProof/>
          <w:lang w:eastAsia="hu-HU"/>
        </w:rPr>
      </w:pPr>
    </w:p>
    <w:p w:rsidR="007913BA" w:rsidRPr="007913BA" w:rsidRDefault="007913BA" w:rsidP="007913BA">
      <w:pPr>
        <w:spacing w:after="0" w:line="240" w:lineRule="auto"/>
        <w:ind w:right="-142"/>
        <w:jc w:val="center"/>
        <w:rPr>
          <w:rFonts w:ascii="Arial Narrow" w:eastAsia="Times New Roman" w:hAnsi="Arial Narrow" w:cs="Arial"/>
          <w:b/>
          <w:noProof/>
          <w:lang w:eastAsia="hu-HU"/>
        </w:rPr>
      </w:pPr>
      <w:r w:rsidRPr="007913BA">
        <w:rPr>
          <w:rFonts w:ascii="Arial Narrow" w:eastAsia="Times New Roman" w:hAnsi="Arial Narrow" w:cs="Arial"/>
          <w:b/>
          <w:noProof/>
          <w:lang w:eastAsia="hu-HU"/>
        </w:rPr>
        <w:t xml:space="preserve">Határozatképesség; </w:t>
      </w:r>
    </w:p>
    <w:p w:rsidR="007913BA" w:rsidRPr="007913BA" w:rsidRDefault="007913BA" w:rsidP="007913BA">
      <w:pPr>
        <w:spacing w:after="0" w:line="240" w:lineRule="auto"/>
        <w:ind w:right="-142"/>
        <w:jc w:val="center"/>
        <w:rPr>
          <w:rFonts w:ascii="Arial Narrow" w:eastAsia="Times New Roman" w:hAnsi="Arial Narrow" w:cs="Arial"/>
          <w:b/>
          <w:noProof/>
          <w:lang w:eastAsia="hu-HU"/>
        </w:rPr>
      </w:pPr>
      <w:r w:rsidRPr="007913BA">
        <w:rPr>
          <w:rFonts w:ascii="Arial Narrow" w:eastAsia="Times New Roman" w:hAnsi="Arial Narrow" w:cs="Arial"/>
          <w:b/>
          <w:noProof/>
          <w:lang w:eastAsia="hu-HU"/>
        </w:rPr>
        <w:t>a Közgyűlés határozatképtelensége esetén a megismételt Közgyűlés helye és ideje</w:t>
      </w:r>
    </w:p>
    <w:p w:rsidR="007913BA" w:rsidRPr="007913BA" w:rsidRDefault="007913BA" w:rsidP="007913BA">
      <w:pPr>
        <w:spacing w:after="0" w:line="240" w:lineRule="auto"/>
        <w:ind w:right="-142"/>
        <w:jc w:val="both"/>
        <w:rPr>
          <w:rFonts w:ascii="Arial Narrow" w:eastAsia="Times New Roman" w:hAnsi="Arial Narrow" w:cs="Arial"/>
          <w:noProof/>
          <w:lang w:eastAsia="hu-HU"/>
        </w:rPr>
      </w:pPr>
    </w:p>
    <w:p w:rsidR="007913BA" w:rsidRPr="007913BA" w:rsidRDefault="007913BA" w:rsidP="007913BA">
      <w:pPr>
        <w:spacing w:after="0" w:line="240" w:lineRule="auto"/>
        <w:ind w:right="-142"/>
        <w:jc w:val="both"/>
        <w:rPr>
          <w:rFonts w:ascii="Arial Narrow" w:eastAsia="Times New Roman" w:hAnsi="Arial Narrow" w:cs="Arial"/>
          <w:noProof/>
          <w:lang w:eastAsia="hu-HU"/>
        </w:rPr>
      </w:pPr>
      <w:r w:rsidRPr="007913BA">
        <w:rPr>
          <w:rFonts w:ascii="Arial Narrow" w:eastAsia="Times New Roman" w:hAnsi="Arial Narrow" w:cs="Arial"/>
          <w:lang w:eastAsia="hu-HU"/>
        </w:rPr>
        <w:t xml:space="preserve">Az Alapszabály 3.1.9 pontja szerint a Közgyűlés határozatképes, ha azon a szavazásra jogosító részvények által megtestesített szavazatok több, mint felét képviselő részvényes jelen van. Amennyiben a Közgyűlés nem határozatképes, a Társaság </w:t>
      </w:r>
      <w:r>
        <w:rPr>
          <w:rFonts w:ascii="Arial Narrow" w:eastAsia="Times New Roman" w:hAnsi="Arial Narrow" w:cs="Arial"/>
          <w:lang w:eastAsia="hu-HU"/>
        </w:rPr>
        <w:t xml:space="preserve">a közgyűlési meghívóban megjelölt helyen és időpontban </w:t>
      </w:r>
      <w:bookmarkStart w:id="1" w:name="_GoBack"/>
      <w:bookmarkEnd w:id="1"/>
      <w:r>
        <w:rPr>
          <w:rFonts w:ascii="Arial Narrow" w:eastAsia="Times New Roman" w:hAnsi="Arial Narrow" w:cs="Arial"/>
          <w:lang w:eastAsia="hu-HU"/>
        </w:rPr>
        <w:t>megismételt közgyűlést tart.</w:t>
      </w:r>
      <w:r w:rsidRPr="007913BA">
        <w:rPr>
          <w:rFonts w:ascii="Arial Narrow" w:eastAsia="Times New Roman" w:hAnsi="Arial Narrow" w:cs="Arial"/>
          <w:lang w:eastAsia="hu-HU"/>
        </w:rPr>
        <w:t xml:space="preserve"> A megismételt közgyűlés az eredeti napirenden szereplő ügyekben a megjelentek számára tekintet nélkül határozatképes. A megismételt Közgyűlésre külön regisz</w:t>
      </w:r>
      <w:r>
        <w:rPr>
          <w:rFonts w:ascii="Arial Narrow" w:eastAsia="Times New Roman" w:hAnsi="Arial Narrow" w:cs="Arial"/>
          <w:lang w:eastAsia="hu-HU"/>
        </w:rPr>
        <w:t>tráció szükséges.</w:t>
      </w:r>
    </w:p>
    <w:p w:rsidR="00FB2FF8" w:rsidRDefault="00FB2FF8"/>
    <w:sectPr w:rsidR="00FB2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BA"/>
    <w:rsid w:val="007913BA"/>
    <w:rsid w:val="00FB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2DC2"/>
  <w15:chartTrackingRefBased/>
  <w15:docId w15:val="{ED2EC354-1689-4808-A4D0-34336D4A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795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MTB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Holobrádi Emese</dc:creator>
  <cp:keywords/>
  <dc:description/>
  <cp:lastModifiedBy>dr. Holobrádi Emese</cp:lastModifiedBy>
  <cp:revision>1</cp:revision>
  <dcterms:created xsi:type="dcterms:W3CDTF">2024-04-29T13:21:00Z</dcterms:created>
  <dcterms:modified xsi:type="dcterms:W3CDTF">2024-04-29T13:32:00Z</dcterms:modified>
</cp:coreProperties>
</file>